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9A2EFF">
        <w:rPr>
          <w:sz w:val="28"/>
        </w:rPr>
        <w:t>Bahncard</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9A2EFF" w:rsidTr="009A2EFF">
        <w:tc>
          <w:tcPr>
            <w:tcW w:w="2466" w:type="dxa"/>
            <w:vAlign w:val="center"/>
          </w:tcPr>
          <w:p w:rsidR="009A2EFF" w:rsidRPr="00A069A7" w:rsidRDefault="009A2EFF" w:rsidP="00C14828">
            <w:pPr>
              <w:pStyle w:val="IQB-Merkmal"/>
            </w:pPr>
            <w:r w:rsidRPr="00A069A7">
              <w:t>Leitidee</w:t>
            </w:r>
          </w:p>
        </w:tc>
        <w:tc>
          <w:tcPr>
            <w:tcW w:w="6604" w:type="dxa"/>
          </w:tcPr>
          <w:p w:rsidR="009A2EFF" w:rsidRPr="00A069A7" w:rsidRDefault="009A2EFF" w:rsidP="00C14828">
            <w:pPr>
              <w:pStyle w:val="IQB-Merkmalswert"/>
              <w:rPr>
                <w:sz w:val="22"/>
                <w:szCs w:val="22"/>
              </w:rPr>
            </w:pPr>
            <w:r w:rsidRPr="00A069A7">
              <w:rPr>
                <w:sz w:val="22"/>
                <w:szCs w:val="22"/>
              </w:rPr>
              <w:t>Zahl (L1)</w:t>
            </w:r>
          </w:p>
        </w:tc>
      </w:tr>
      <w:tr w:rsidR="009A2EFF" w:rsidTr="009A2EFF">
        <w:tc>
          <w:tcPr>
            <w:tcW w:w="2466" w:type="dxa"/>
            <w:vAlign w:val="center"/>
          </w:tcPr>
          <w:p w:rsidR="009A2EFF" w:rsidRPr="00A069A7" w:rsidRDefault="009A2EFF" w:rsidP="00C14828">
            <w:pPr>
              <w:pStyle w:val="IQB-Merkmal"/>
            </w:pPr>
            <w:r w:rsidRPr="00A069A7">
              <w:t>Allgemeine Kompetenzen</w:t>
            </w:r>
          </w:p>
        </w:tc>
        <w:tc>
          <w:tcPr>
            <w:tcW w:w="6604" w:type="dxa"/>
          </w:tcPr>
          <w:p w:rsidR="009A2EFF" w:rsidRDefault="009A2EFF" w:rsidP="00C14828">
            <w:pPr>
              <w:pStyle w:val="IQB-Merkmalswert"/>
              <w:rPr>
                <w:sz w:val="22"/>
                <w:szCs w:val="22"/>
              </w:rPr>
            </w:pPr>
            <w:r>
              <w:rPr>
                <w:sz w:val="22"/>
                <w:szCs w:val="22"/>
              </w:rPr>
              <w:t>Mathematisch modellieren (K3)</w:t>
            </w:r>
          </w:p>
          <w:p w:rsidR="009A2EFF" w:rsidRDefault="009A2EFF" w:rsidP="00C14828">
            <w:pPr>
              <w:pStyle w:val="IQB-Merkmalswert"/>
              <w:rPr>
                <w:sz w:val="22"/>
                <w:szCs w:val="22"/>
              </w:rPr>
            </w:pPr>
            <w:r w:rsidRPr="00A069A7">
              <w:rPr>
                <w:sz w:val="22"/>
                <w:szCs w:val="22"/>
              </w:rPr>
              <w:t>Mit symbolischen, formalen und technischen Element</w:t>
            </w:r>
            <w:r>
              <w:rPr>
                <w:sz w:val="22"/>
                <w:szCs w:val="22"/>
              </w:rPr>
              <w:t>en der Mathematik umgehen (K5)</w:t>
            </w:r>
          </w:p>
          <w:p w:rsidR="009A2EFF" w:rsidRPr="00A069A7" w:rsidRDefault="009A2EFF" w:rsidP="00C14828">
            <w:pPr>
              <w:pStyle w:val="IQB-Merkmalswert"/>
              <w:rPr>
                <w:sz w:val="22"/>
                <w:szCs w:val="22"/>
              </w:rPr>
            </w:pPr>
            <w:r w:rsidRPr="00A069A7">
              <w:rPr>
                <w:sz w:val="22"/>
                <w:szCs w:val="22"/>
              </w:rPr>
              <w:t>Mathematisch kommunizieren (K6)</w:t>
            </w:r>
          </w:p>
        </w:tc>
      </w:tr>
      <w:tr w:rsidR="009A2EFF" w:rsidTr="009A2EFF">
        <w:tc>
          <w:tcPr>
            <w:tcW w:w="2466" w:type="dxa"/>
            <w:vAlign w:val="center"/>
          </w:tcPr>
          <w:p w:rsidR="009A2EFF" w:rsidRPr="00A069A7" w:rsidRDefault="009A2EFF" w:rsidP="00C14828">
            <w:pPr>
              <w:pStyle w:val="IQB-Merkmal"/>
            </w:pPr>
            <w:r w:rsidRPr="00A069A7">
              <w:t>Anforderungsbereich</w:t>
            </w:r>
          </w:p>
        </w:tc>
        <w:tc>
          <w:tcPr>
            <w:tcW w:w="6604" w:type="dxa"/>
          </w:tcPr>
          <w:p w:rsidR="009A2EFF" w:rsidRPr="00A069A7" w:rsidRDefault="009A2EFF" w:rsidP="00C14828">
            <w:pPr>
              <w:pStyle w:val="IQB-Merkmalswert"/>
              <w:rPr>
                <w:sz w:val="22"/>
                <w:szCs w:val="22"/>
              </w:rPr>
            </w:pPr>
            <w:r w:rsidRPr="00A069A7">
              <w:rPr>
                <w:sz w:val="22"/>
                <w:szCs w:val="22"/>
              </w:rPr>
              <w:t>I</w:t>
            </w:r>
          </w:p>
        </w:tc>
      </w:tr>
      <w:tr w:rsidR="009A2EFF" w:rsidTr="009A2EFF">
        <w:tc>
          <w:tcPr>
            <w:tcW w:w="2466" w:type="dxa"/>
            <w:vAlign w:val="center"/>
          </w:tcPr>
          <w:p w:rsidR="009A2EFF" w:rsidRPr="00A069A7" w:rsidRDefault="009A2EFF" w:rsidP="00C14828">
            <w:pPr>
              <w:pStyle w:val="IQB-Merkmal"/>
            </w:pPr>
            <w:r w:rsidRPr="00A069A7">
              <w:t>Kompetenzstufe</w:t>
            </w:r>
          </w:p>
        </w:tc>
        <w:tc>
          <w:tcPr>
            <w:tcW w:w="6604" w:type="dxa"/>
          </w:tcPr>
          <w:p w:rsidR="009A2EFF" w:rsidRPr="00A069A7" w:rsidRDefault="009A2EFF" w:rsidP="00C14828">
            <w:pPr>
              <w:pStyle w:val="IQB-Merkmalswert"/>
              <w:rPr>
                <w:sz w:val="22"/>
                <w:szCs w:val="22"/>
              </w:rPr>
            </w:pPr>
            <w:r w:rsidRPr="00A069A7">
              <w:rPr>
                <w:sz w:val="22"/>
                <w:szCs w:val="22"/>
              </w:rPr>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9A2EFF" w:rsidTr="009A2EFF">
        <w:tc>
          <w:tcPr>
            <w:tcW w:w="2466" w:type="dxa"/>
            <w:vAlign w:val="center"/>
          </w:tcPr>
          <w:p w:rsidR="009A2EFF" w:rsidRPr="00A069A7" w:rsidRDefault="009A2EFF" w:rsidP="00C14828">
            <w:pPr>
              <w:pStyle w:val="IQB-Merkmal"/>
            </w:pPr>
            <w:r w:rsidRPr="00A069A7">
              <w:t>Leitidee</w:t>
            </w:r>
          </w:p>
        </w:tc>
        <w:tc>
          <w:tcPr>
            <w:tcW w:w="6604" w:type="dxa"/>
          </w:tcPr>
          <w:p w:rsidR="009A2EFF" w:rsidRPr="00A069A7" w:rsidRDefault="009A2EFF" w:rsidP="00C14828">
            <w:pPr>
              <w:pStyle w:val="IQB-Merkmalswert"/>
              <w:rPr>
                <w:sz w:val="22"/>
                <w:szCs w:val="22"/>
              </w:rPr>
            </w:pPr>
            <w:r w:rsidRPr="00A069A7">
              <w:rPr>
                <w:sz w:val="22"/>
                <w:szCs w:val="22"/>
              </w:rPr>
              <w:t>Zahl (L1)</w:t>
            </w:r>
          </w:p>
        </w:tc>
      </w:tr>
      <w:tr w:rsidR="009A2EFF" w:rsidTr="009A2EFF">
        <w:tc>
          <w:tcPr>
            <w:tcW w:w="2466" w:type="dxa"/>
            <w:vAlign w:val="center"/>
          </w:tcPr>
          <w:p w:rsidR="009A2EFF" w:rsidRPr="00A069A7" w:rsidRDefault="009A2EFF" w:rsidP="00C14828">
            <w:pPr>
              <w:pStyle w:val="IQB-Merkmal"/>
            </w:pPr>
            <w:r w:rsidRPr="00A069A7">
              <w:t>Allgemeine Kompetenzen</w:t>
            </w:r>
          </w:p>
        </w:tc>
        <w:tc>
          <w:tcPr>
            <w:tcW w:w="6604" w:type="dxa"/>
          </w:tcPr>
          <w:p w:rsidR="009A2EFF" w:rsidRDefault="009A2EFF" w:rsidP="00C14828">
            <w:pPr>
              <w:pStyle w:val="IQB-Merkmalswert"/>
              <w:rPr>
                <w:sz w:val="22"/>
                <w:szCs w:val="22"/>
              </w:rPr>
            </w:pPr>
            <w:r>
              <w:rPr>
                <w:sz w:val="22"/>
                <w:szCs w:val="22"/>
              </w:rPr>
              <w:t>Mathematisch modellieren (K3)</w:t>
            </w:r>
          </w:p>
          <w:p w:rsidR="009A2EFF" w:rsidRDefault="009A2EFF" w:rsidP="00C14828">
            <w:pPr>
              <w:pStyle w:val="IQB-Merkmalswert"/>
              <w:rPr>
                <w:sz w:val="22"/>
                <w:szCs w:val="22"/>
              </w:rPr>
            </w:pPr>
            <w:r w:rsidRPr="00A069A7">
              <w:rPr>
                <w:sz w:val="22"/>
                <w:szCs w:val="22"/>
              </w:rPr>
              <w:t xml:space="preserve">Mit symbolischen, formalen und technischen Elementen der </w:t>
            </w:r>
            <w:r>
              <w:rPr>
                <w:sz w:val="22"/>
                <w:szCs w:val="22"/>
              </w:rPr>
              <w:t>Mathematik umgehen (K5)</w:t>
            </w:r>
          </w:p>
          <w:p w:rsidR="009A2EFF" w:rsidRPr="00A069A7" w:rsidRDefault="009A2EFF" w:rsidP="00C14828">
            <w:pPr>
              <w:pStyle w:val="IQB-Merkmalswert"/>
              <w:rPr>
                <w:sz w:val="22"/>
                <w:szCs w:val="22"/>
              </w:rPr>
            </w:pPr>
            <w:r w:rsidRPr="00A069A7">
              <w:rPr>
                <w:sz w:val="22"/>
                <w:szCs w:val="22"/>
              </w:rPr>
              <w:t>Mathematisch kommunizieren (K6)</w:t>
            </w:r>
          </w:p>
        </w:tc>
      </w:tr>
      <w:tr w:rsidR="009A2EFF" w:rsidTr="009A2EFF">
        <w:tc>
          <w:tcPr>
            <w:tcW w:w="2466" w:type="dxa"/>
            <w:vAlign w:val="center"/>
          </w:tcPr>
          <w:p w:rsidR="009A2EFF" w:rsidRPr="00A069A7" w:rsidRDefault="009A2EFF" w:rsidP="00C14828">
            <w:pPr>
              <w:pStyle w:val="IQB-Merkmal"/>
            </w:pPr>
            <w:r w:rsidRPr="00A069A7">
              <w:t>Anforderungsbereich</w:t>
            </w:r>
          </w:p>
        </w:tc>
        <w:tc>
          <w:tcPr>
            <w:tcW w:w="6604" w:type="dxa"/>
          </w:tcPr>
          <w:p w:rsidR="009A2EFF" w:rsidRPr="00A069A7" w:rsidRDefault="009A2EFF" w:rsidP="00C14828">
            <w:pPr>
              <w:pStyle w:val="IQB-Merkmalswert"/>
              <w:rPr>
                <w:sz w:val="22"/>
                <w:szCs w:val="22"/>
              </w:rPr>
            </w:pPr>
            <w:r w:rsidRPr="00A069A7">
              <w:rPr>
                <w:sz w:val="22"/>
                <w:szCs w:val="22"/>
              </w:rPr>
              <w:t>II</w:t>
            </w:r>
          </w:p>
        </w:tc>
      </w:tr>
      <w:tr w:rsidR="009A2EFF" w:rsidTr="009A2EFF">
        <w:tc>
          <w:tcPr>
            <w:tcW w:w="2466" w:type="dxa"/>
            <w:vAlign w:val="center"/>
          </w:tcPr>
          <w:p w:rsidR="009A2EFF" w:rsidRPr="00A069A7" w:rsidRDefault="009A2EFF" w:rsidP="00C14828">
            <w:pPr>
              <w:pStyle w:val="IQB-Merkmal"/>
            </w:pPr>
            <w:r w:rsidRPr="00A069A7">
              <w:t>Kompetenzstufe</w:t>
            </w:r>
          </w:p>
        </w:tc>
        <w:tc>
          <w:tcPr>
            <w:tcW w:w="6604" w:type="dxa"/>
          </w:tcPr>
          <w:p w:rsidR="009A2EFF" w:rsidRPr="00A069A7" w:rsidRDefault="009A2EFF" w:rsidP="00C14828">
            <w:pPr>
              <w:pStyle w:val="IQB-Merkmalswert"/>
              <w:rPr>
                <w:sz w:val="22"/>
                <w:szCs w:val="22"/>
              </w:rPr>
            </w:pPr>
            <w:r w:rsidRPr="00A069A7">
              <w:rPr>
                <w:sz w:val="22"/>
                <w:szCs w:val="22"/>
              </w:rPr>
              <w:t>3</w:t>
            </w:r>
          </w:p>
        </w:tc>
      </w:tr>
    </w:tbl>
    <w:p w:rsidR="00694A63" w:rsidRPr="00694A63" w:rsidRDefault="00694A63" w:rsidP="00694A63">
      <w:pPr>
        <w:pStyle w:val="IQB-Teilaufgabentitel"/>
        <w:rPr>
          <w:b/>
        </w:rPr>
      </w:pPr>
      <w:r w:rsidRPr="00694A63">
        <w:rPr>
          <w:b/>
        </w:rPr>
        <w:t>Aufgabenbezogener Kommentar</w:t>
      </w:r>
    </w:p>
    <w:p w:rsidR="009A2EFF" w:rsidRPr="009A2EFF" w:rsidRDefault="009A2EFF" w:rsidP="009A2EFF">
      <w:pPr>
        <w:jc w:val="both"/>
        <w:rPr>
          <w:rFonts w:ascii="Arial" w:hAnsi="Arial"/>
          <w:sz w:val="22"/>
          <w:szCs w:val="22"/>
        </w:rPr>
      </w:pPr>
      <w:r w:rsidRPr="009A2EFF">
        <w:rPr>
          <w:rFonts w:ascii="Arial" w:hAnsi="Arial"/>
          <w:sz w:val="22"/>
          <w:szCs w:val="22"/>
        </w:rPr>
        <w:t xml:space="preserve">In beiden Teilaufgaben werden Fragestellungen der Prozentrechnung beantwortet. Daher ist die Aufgabe „Bahncard“ der Leitidee </w:t>
      </w:r>
      <w:r w:rsidRPr="009A2EFF">
        <w:rPr>
          <w:rFonts w:ascii="Arial" w:hAnsi="Arial"/>
          <w:i/>
          <w:sz w:val="22"/>
          <w:szCs w:val="22"/>
        </w:rPr>
        <w:t>Zahl</w:t>
      </w:r>
      <w:r w:rsidRPr="009A2EFF">
        <w:rPr>
          <w:rFonts w:ascii="Arial" w:hAnsi="Arial"/>
          <w:sz w:val="22"/>
          <w:szCs w:val="22"/>
        </w:rPr>
        <w:t> (L1) zugeordnet.</w:t>
      </w:r>
    </w:p>
    <w:p w:rsidR="009A2EFF" w:rsidRPr="009A2EFF" w:rsidRDefault="009A2EFF" w:rsidP="009A2EFF">
      <w:pPr>
        <w:jc w:val="both"/>
        <w:rPr>
          <w:rFonts w:ascii="Arial" w:hAnsi="Arial"/>
          <w:sz w:val="22"/>
          <w:szCs w:val="22"/>
        </w:rPr>
      </w:pPr>
    </w:p>
    <w:p w:rsidR="009A2EFF" w:rsidRPr="009A2EFF" w:rsidRDefault="009A2EFF" w:rsidP="009A2EFF">
      <w:pPr>
        <w:jc w:val="both"/>
        <w:rPr>
          <w:rFonts w:ascii="Arial" w:hAnsi="Arial"/>
          <w:sz w:val="22"/>
          <w:szCs w:val="22"/>
        </w:rPr>
      </w:pPr>
      <w:r w:rsidRPr="009A2EFF">
        <w:rPr>
          <w:rFonts w:ascii="Arial" w:hAnsi="Arial"/>
          <w:sz w:val="22"/>
          <w:szCs w:val="22"/>
        </w:rPr>
        <w:t xml:space="preserve">In beiden Teilaufgaben gilt es den Sachverhalt in ein mathematisches Modell bestehend aus Grundwert und Prozentsatz zu übertragen, um so jeweils einen Prozentwert zu ermitteln. Es sind daher zur Lösung beider Teilaufgaben grundlegende Kompetenzen im Bereich </w:t>
      </w:r>
      <w:r w:rsidRPr="009A2EFF">
        <w:rPr>
          <w:rFonts w:ascii="Arial" w:hAnsi="Arial"/>
          <w:i/>
          <w:sz w:val="22"/>
          <w:szCs w:val="22"/>
        </w:rPr>
        <w:t>Mathematisch modellieren</w:t>
      </w:r>
      <w:r w:rsidRPr="009A2EFF">
        <w:rPr>
          <w:rFonts w:ascii="Arial" w:hAnsi="Arial"/>
          <w:sz w:val="22"/>
          <w:szCs w:val="22"/>
        </w:rPr>
        <w:t xml:space="preserve"> (K3) notwendig. Die Arbeit im mathematischen Modell der Prozentrechnung verlangt von Schülerinnen und Schülern, dass sie formal </w:t>
      </w:r>
      <w:r w:rsidRPr="009A2EFF">
        <w:rPr>
          <w:rFonts w:ascii="Arial" w:hAnsi="Arial"/>
          <w:i/>
          <w:sz w:val="22"/>
          <w:szCs w:val="22"/>
        </w:rPr>
        <w:t>Mit symbolischen, formalen und technischen Elementen der Mathematik umgehen</w:t>
      </w:r>
      <w:r w:rsidRPr="009A2EFF">
        <w:rPr>
          <w:rFonts w:ascii="Arial" w:hAnsi="Arial"/>
          <w:sz w:val="22"/>
          <w:szCs w:val="22"/>
        </w:rPr>
        <w:t xml:space="preserve"> (K5). Hierzu gehören z. B. das Aufstellen und die Berechnung eines Terms aus Grundwert und Prozentsatz. Letztlich wird in beiden Teilaufgaben auch die Kompetenz </w:t>
      </w:r>
      <w:r w:rsidRPr="009A2EFF">
        <w:rPr>
          <w:rFonts w:ascii="Arial" w:hAnsi="Arial"/>
          <w:i/>
          <w:sz w:val="22"/>
          <w:szCs w:val="22"/>
        </w:rPr>
        <w:t>Mathematisch kommunizieren</w:t>
      </w:r>
      <w:r w:rsidRPr="009A2EFF">
        <w:rPr>
          <w:rFonts w:ascii="Arial" w:hAnsi="Arial"/>
          <w:sz w:val="22"/>
          <w:szCs w:val="22"/>
        </w:rPr>
        <w:t> (K6) vorausgesetzt, da aus einem mathematikhaltigen Text die relevanten Informationen entnommen werden.</w:t>
      </w:r>
    </w:p>
    <w:p w:rsidR="009A2EFF" w:rsidRPr="009A2EFF" w:rsidRDefault="009A2EFF" w:rsidP="009A2EFF">
      <w:pPr>
        <w:jc w:val="both"/>
        <w:rPr>
          <w:rFonts w:ascii="Arial" w:hAnsi="Arial"/>
          <w:sz w:val="22"/>
          <w:szCs w:val="22"/>
        </w:rPr>
      </w:pPr>
    </w:p>
    <w:p w:rsidR="009A2EFF" w:rsidRPr="009A2EFF" w:rsidRDefault="009A2EFF" w:rsidP="009A2EFF">
      <w:pPr>
        <w:jc w:val="both"/>
        <w:rPr>
          <w:rFonts w:ascii="Arial" w:hAnsi="Arial"/>
          <w:sz w:val="22"/>
          <w:szCs w:val="22"/>
        </w:rPr>
      </w:pPr>
      <w:r w:rsidRPr="009A2EFF">
        <w:rPr>
          <w:rFonts w:ascii="Arial" w:hAnsi="Arial"/>
          <w:sz w:val="22"/>
          <w:szCs w:val="22"/>
        </w:rPr>
        <w:t>In Teilaufgabe 1 werden alle drei allgemeinen Kompetenzen nur auf basaler Ebene adressiert. So wird die im Aufgabentext geschilderte Situation lediglich in ein Standardmodell der Prozentrechnung übertragen, das aus dem Unterricht bekannt sein sollte. Die zur Beantwortung der Frage benötigte Rechnung wurde vermutlich im Unterricht erprobt und muss hier nur reproduziert werden. Und die Informationsentnahme aus dem Aufgabentext wird nicht durch ein Überangebot von Zahlen- und Größenangaben erschwert. Daher gehört Teilaufgabe 1 insgesamt in den Anforderungsbereich I. Teilaufgabe 2 kann bereits aufgrund der Vielzahl der dort benötigten allgemeinen mathematischen Kompetenzen dem Anforderungsbereich II zugeordnet werden. Die Zuordnung zum Anforderungsbereich II ergibt sich zudem aus dem Umstand, dass hier ein Problem bearbeitet wird, dessen Lösung die Anwendung von Heurismen erfordert (z. B. „systematisches Probieren“ oder „Rückwärtsarbeiten“).</w:t>
      </w:r>
    </w:p>
    <w:p w:rsidR="00694A63" w:rsidRPr="00694A63" w:rsidRDefault="00694A63" w:rsidP="00694A63">
      <w:pPr>
        <w:pStyle w:val="IQB-Teilaufgabentitel"/>
        <w:rPr>
          <w:b/>
        </w:rPr>
      </w:pPr>
      <w:r w:rsidRPr="00694A63">
        <w:rPr>
          <w:b/>
        </w:rPr>
        <w:t>Anregungen für den Unterricht</w:t>
      </w:r>
    </w:p>
    <w:p w:rsidR="009A2EFF" w:rsidRPr="009A2EFF" w:rsidRDefault="009A2EFF" w:rsidP="009A2EFF">
      <w:pPr>
        <w:jc w:val="both"/>
        <w:rPr>
          <w:rFonts w:ascii="Arial" w:hAnsi="Arial"/>
          <w:sz w:val="22"/>
          <w:szCs w:val="22"/>
        </w:rPr>
      </w:pPr>
      <w:r w:rsidRPr="009A2EFF">
        <w:rPr>
          <w:rFonts w:ascii="Arial" w:hAnsi="Arial"/>
          <w:sz w:val="22"/>
          <w:szCs w:val="22"/>
        </w:rPr>
        <w:t xml:space="preserve">Anwendungs- und Modellierungsaufgaben im Unterricht sollen authentisch sein, in der Realität relevante Probleme behandeln und, wenn möglich, lebensnah sein, d. h. aus dem Alltag und der Erfahrungswelt der Schülerinnen und Schüler entstammen. Alle drei genannten Aspekte können im Kontext der Testaufgabe berücksichtigt werden. Fragen zu Rabatten bei Fahrkarten sind authentisch, relevant und nah an der Erfahrungswelt von Schülerinnen und Schülern. Der Kontext </w:t>
      </w:r>
      <w:r w:rsidRPr="009A2EFF">
        <w:rPr>
          <w:rFonts w:ascii="Arial" w:hAnsi="Arial"/>
          <w:sz w:val="22"/>
          <w:szCs w:val="22"/>
        </w:rPr>
        <w:lastRenderedPageBreak/>
        <w:t xml:space="preserve">Verkehrsmittel kann darüber hinaus im Umgang mit unterschiedlichen Inhalten mathematischer Leitideen genutzt werden. </w:t>
      </w:r>
    </w:p>
    <w:p w:rsidR="009A2EFF" w:rsidRPr="009A2EFF" w:rsidRDefault="009A2EFF" w:rsidP="009A2EFF">
      <w:pPr>
        <w:jc w:val="both"/>
        <w:rPr>
          <w:rFonts w:ascii="Arial" w:hAnsi="Arial"/>
          <w:sz w:val="22"/>
          <w:szCs w:val="22"/>
        </w:rPr>
      </w:pPr>
    </w:p>
    <w:p w:rsidR="009A2EFF" w:rsidRPr="009A2EFF" w:rsidRDefault="009A2EFF" w:rsidP="009A2EFF">
      <w:pPr>
        <w:jc w:val="both"/>
        <w:rPr>
          <w:rFonts w:ascii="Arial" w:hAnsi="Arial"/>
          <w:sz w:val="22"/>
          <w:szCs w:val="22"/>
        </w:rPr>
      </w:pPr>
      <w:r w:rsidRPr="009A2EFF">
        <w:rPr>
          <w:rFonts w:ascii="Arial" w:hAnsi="Arial"/>
          <w:sz w:val="22"/>
          <w:szCs w:val="22"/>
        </w:rPr>
        <w:t xml:space="preserve">Die Aufgabe „Bahncard“ zeigt ein Beispiel aus der Prozentrechnung, also ein Beispiel zur Leitidee </w:t>
      </w:r>
      <w:r w:rsidRPr="009A2EFF">
        <w:rPr>
          <w:rFonts w:ascii="Arial" w:hAnsi="Arial"/>
          <w:i/>
          <w:sz w:val="22"/>
          <w:szCs w:val="22"/>
        </w:rPr>
        <w:t>Zahl</w:t>
      </w:r>
      <w:r w:rsidRPr="009A2EFF">
        <w:rPr>
          <w:rFonts w:ascii="Arial" w:hAnsi="Arial"/>
          <w:sz w:val="22"/>
          <w:szCs w:val="22"/>
        </w:rPr>
        <w:t xml:space="preserve"> (L1). Doch auch andere mathematische Inhalte der Leitidee </w:t>
      </w:r>
      <w:r w:rsidRPr="009A2EFF">
        <w:rPr>
          <w:rFonts w:ascii="Arial" w:hAnsi="Arial"/>
          <w:i/>
          <w:sz w:val="22"/>
          <w:szCs w:val="22"/>
        </w:rPr>
        <w:t>Zahl</w:t>
      </w:r>
      <w:r w:rsidRPr="009A2EFF">
        <w:rPr>
          <w:rFonts w:ascii="Arial" w:hAnsi="Arial"/>
          <w:sz w:val="22"/>
          <w:szCs w:val="22"/>
        </w:rPr>
        <w:t xml:space="preserve"> (L1) können mit dem Kontext Verkehrsmittel in Verbindung gebracht werden. Man denke hierbei zum Beispiel an Fahrräder. Die Frage, wie viele Gänge ein Fahrrad mit Kettenschaltung tatsächlich hat, kann mithilfe von Brüchen geklärt werden. Dazu wird jede Kombination aus der Anzahl an Zähnen eines Zahnkranzes am Hinterrad und der Anzahl an Zähnen eines Zahnkranzes an der Tretkurbel als Bruch dargestellt. Anschließend werden die Brüche gekürzt und miteinander verglichen. Bei vielen Kettenschaltungen fällt auf, dass gleiche oder nahezu gleiche Verhältnisse durch die unterschiedlichen Kombinationsmöglichkeiten beider Zahnkränze entstehen und man nicht so viele echt unterschiedliche Gänge hat, wie auf der Gangschaltung angegeben sind. In der Zeitschrift Mathematik lehren (Nr. 69/1995) finden sich dieses und weitere Beispiele zu „Mathematik und Verkehr“. So z. B. Unterrichtsmaterialien zum Bruchrechnen in der Straßenbahn und im Intercity. Zur Leitidee </w:t>
      </w:r>
      <w:r w:rsidRPr="009A2EFF">
        <w:rPr>
          <w:rFonts w:ascii="Arial" w:hAnsi="Arial"/>
          <w:i/>
          <w:sz w:val="22"/>
          <w:szCs w:val="22"/>
        </w:rPr>
        <w:t>Funktionaler Zusammenhang</w:t>
      </w:r>
      <w:r w:rsidRPr="009A2EFF">
        <w:rPr>
          <w:rFonts w:ascii="Arial" w:hAnsi="Arial"/>
          <w:sz w:val="22"/>
          <w:szCs w:val="22"/>
        </w:rPr>
        <w:t xml:space="preserve"> (L4) können leicht Aufgaben antizipiert werden. Viele Beispiele finden sich bereits in den bekannten Schulbüchern. Aber auch die Leitidee </w:t>
      </w:r>
      <w:r w:rsidRPr="009A2EFF">
        <w:rPr>
          <w:rFonts w:ascii="Arial" w:hAnsi="Arial"/>
          <w:i/>
          <w:sz w:val="22"/>
          <w:szCs w:val="22"/>
        </w:rPr>
        <w:t>Daten und Zufall</w:t>
      </w:r>
      <w:r w:rsidRPr="009A2EFF">
        <w:rPr>
          <w:rFonts w:ascii="Arial" w:hAnsi="Arial"/>
          <w:sz w:val="22"/>
          <w:szCs w:val="22"/>
        </w:rPr>
        <w:t> (L5) hält mathematische Inhalte bereit, die durch den Kontext „Verkehrsmittel“ abgedeckt werden. Ein einfaches Beispiel: „Ein Bus kommt alle 20 Minuten. Wie hoch ist die Wahrscheinlichkeit, dass ich mehr als 5 Minuten an der Haltestelle warten muss, wenn ich ohne auf die Uhr zu schauen einfach loslaufe?“</w:t>
      </w:r>
    </w:p>
    <w:p w:rsidR="009A2EFF" w:rsidRPr="009A2EFF" w:rsidRDefault="009A2EFF" w:rsidP="009A2EFF">
      <w:pPr>
        <w:jc w:val="both"/>
        <w:rPr>
          <w:rFonts w:ascii="Arial" w:hAnsi="Arial"/>
          <w:sz w:val="22"/>
          <w:szCs w:val="22"/>
        </w:rPr>
      </w:pPr>
    </w:p>
    <w:p w:rsidR="009A2EFF" w:rsidRPr="009A2EFF" w:rsidRDefault="009A2EFF" w:rsidP="009A2EFF">
      <w:pPr>
        <w:jc w:val="both"/>
        <w:rPr>
          <w:rFonts w:ascii="Arial" w:hAnsi="Arial"/>
          <w:sz w:val="22"/>
          <w:szCs w:val="22"/>
        </w:rPr>
      </w:pPr>
      <w:r w:rsidRPr="009A2EFF">
        <w:rPr>
          <w:rFonts w:ascii="Arial" w:hAnsi="Arial"/>
          <w:sz w:val="22"/>
          <w:szCs w:val="22"/>
        </w:rPr>
        <w:t>Möchte man nicht nur mathematische Inhalte anwenden (von der Mathematik zum Kontext), sondern modellieren (vom Kontext zur Mathematik), so lohnt sich ein Blick in das Buch „Mathematisches Modellieren. Aufgaben für die Sekundarstufe I“ von Katja Maaß (2008, Cornelsen: Berlin). Dort findet man Aufgaben mit den Namen Fahrrad, Benzinkosten, Reisekosten, Monatskarte, Pendler, Straßenbahn, Straßenschild, Autobahnschild, ICE, Neun Stunden im Stau, Autobahnauffahrt, Erdgasauto, und Schwarzfahren.</w:t>
      </w:r>
    </w:p>
    <w:p w:rsidR="009A2EFF" w:rsidRPr="009A2EFF" w:rsidRDefault="009A2EFF" w:rsidP="009A2EFF">
      <w:pPr>
        <w:jc w:val="both"/>
        <w:rPr>
          <w:rFonts w:ascii="Arial" w:hAnsi="Arial"/>
          <w:sz w:val="22"/>
          <w:szCs w:val="22"/>
        </w:rPr>
      </w:pPr>
    </w:p>
    <w:p w:rsidR="009A2EFF" w:rsidRPr="009A2EFF" w:rsidRDefault="009A2EFF" w:rsidP="009A2EFF">
      <w:pPr>
        <w:jc w:val="both"/>
        <w:rPr>
          <w:rFonts w:ascii="Arial" w:hAnsi="Arial"/>
          <w:sz w:val="22"/>
          <w:szCs w:val="22"/>
        </w:rPr>
      </w:pPr>
      <w:r w:rsidRPr="009A2EFF">
        <w:rPr>
          <w:rFonts w:ascii="Arial" w:hAnsi="Arial"/>
          <w:sz w:val="22"/>
          <w:szCs w:val="22"/>
        </w:rPr>
        <w:t xml:space="preserve">Für den eigenen Unterricht können zu diesem Kontext auch leicht selbst Aufgaben erstellt werden. Beispielsweise können Schülerinnen und Schüler aufgefordert werden einen Klassenausflug zu planen. Hierzu bietet es sich an Fahrpläne und Preislisten lokaler Anbieter des öffentlichen Personennahverkehrs zu verwenden. Dadurch können Aufgaben authentisch, relevant und lebensnah formuliert werden. Durch die Verwendung authentischer Fahrpläne und Preislisten kann insbesondere die Kompetenz </w:t>
      </w:r>
      <w:r w:rsidRPr="009A2EFF">
        <w:rPr>
          <w:rFonts w:ascii="Arial" w:hAnsi="Arial"/>
          <w:i/>
          <w:sz w:val="22"/>
          <w:szCs w:val="22"/>
        </w:rPr>
        <w:t>Mathematisch kommunizieren</w:t>
      </w:r>
      <w:r w:rsidRPr="009A2EFF">
        <w:rPr>
          <w:rFonts w:ascii="Arial" w:hAnsi="Arial"/>
          <w:sz w:val="22"/>
          <w:szCs w:val="22"/>
        </w:rPr>
        <w:t> (K6) gefördert werden. Die Schülerinnen und Schüler werden mit einem nicht-kontinuierlichen Text konfrontiert, bestehend aus einem Aufgabentext und einer Preisliste oder einem Fahrplan und müssen daraus Informationen entnehmen oder ihre Antwort anhand von Preislisten oder Fahrplänen erläutern.</w:t>
      </w:r>
    </w:p>
    <w:p w:rsidR="00694A63" w:rsidRPr="005B2F65" w:rsidRDefault="00694A63" w:rsidP="009A2EFF">
      <w:pPr>
        <w:jc w:val="both"/>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0637B08B-32E8-4DD0-B37A-A9C2BF3F6025}"/>
    <w:embedBold r:id="rId2" w:fontKey="{C170DD95-DE3C-45F9-A271-9DBB30558D33}"/>
    <w:embedItalic r:id="rId3" w:fontKey="{5B8DFF05-532C-4895-B3D5-BC81C7DD198E}"/>
    <w:embedBoldItalic r:id="rId4" w:fontKey="{07BCA259-B9C1-422F-B4D6-834274326C94}"/>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2D941036"/>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385BBB-7277-4300-8A70-FF9849595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765</Words>
  <Characters>5215</Characters>
  <Application>Microsoft Office Word</Application>
  <DocSecurity>0</DocSecurity>
  <Lines>102</Lines>
  <Paragraphs>37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2025-07-23T13:03:00Z</dcterms:created>
  <dcterms:modified xsi:type="dcterms:W3CDTF">2025-07-23T13:03:00Z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